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2193530</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b/>
          <w:bCs/>
          <w:sz w:val="26"/>
          <w:szCs w:val="26"/>
          <w:rtl/>
        </w:rPr>
      </w:pPr>
    </w:p>
    <w:p w14:paraId="7F6961AA" w14:textId="74CFD604" w:rsidR="00E13C27" w:rsidRPr="00CF1AA2" w:rsidRDefault="008F6665" w:rsidP="0064269B">
      <w:pPr>
        <w:pStyle w:val="David"/>
        <w:spacing w:before="102"/>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יצחק פינדרוס</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אורי מקלב</w:t>
      </w:r>
      <w:r>
        <w:br/>
      </w:r>
      <w:r>
        <w:rPr>
          <w:rFonts w:hint="cs"/>
          <w:b/>
          <w:bCs/>
          <w:rtl/>
        </w:rPr>
        <w:t xml:space="preserve"> </w:t>
      </w:r>
      <w:r>
        <w:tab/>
      </w:r>
      <w:r>
        <w:tab/>
      </w:r>
      <w:r>
        <w:tab/>
      </w:r>
      <w:r>
        <w:tab/>
      </w:r>
      <w:r>
        <w:rPr>
          <w:rFonts w:hint="cs"/>
          <w:b/>
          <w:bCs/>
          <w:rtl/>
        </w:rPr>
        <w:t>יעקב אשר</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4C86B7F"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795124">
        <w:rPr>
          <w:rtl/>
        </w:rPr>
        <w:tab/>
      </w:r>
      <w:r>
        <w:rPr>
          <w:rFonts w:hint="cs"/>
          <w:rtl/>
        </w:rPr>
        <w:t>פ/4062/24</w:t>
      </w:r>
      <w:bookmarkEnd w:id="6"/>
    </w:p>
    <w:p w14:paraId="7F6961AC" w14:textId="77777777" w:rsidR="00E13C27" w:rsidRDefault="00E13C27" w:rsidP="00E13C27">
      <w:pPr>
        <w:ind w:left="2880" w:firstLine="720"/>
        <w:rPr>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לתיקון פקודת מס הכנסה (נקודות זיכוי למשפחות אומנה), התשפ"ב–2022</w:t>
      </w:r>
      <w:bookmarkEnd w:id="7"/>
    </w:p>
    <w:p w14:paraId="7F6961AE" w14:textId="77777777" w:rsidR="00E13C27" w:rsidRDefault="00E13C27" w:rsidP="0021633A">
      <w:pPr>
        <w:pStyle w:val="HeadDivreiHesber"/>
        <w:spacing w:before="0" w:after="0"/>
        <w:rPr>
          <w:rtl/>
        </w:rPr>
      </w:pPr>
    </w:p>
    <w:tbl>
      <w:tblPr>
        <w:bidiVisual/>
        <w:tblW w:w="9638" w:type="dxa"/>
        <w:tblLayout w:type="fixed"/>
        <w:tblCellMar>
          <w:top w:w="57" w:type="dxa"/>
          <w:left w:w="0" w:type="dxa"/>
          <w:bottom w:w="57" w:type="dxa"/>
          <w:right w:w="0" w:type="dxa"/>
        </w:tblCellMar>
        <w:tblLook w:val="0000" w:firstRow="0" w:lastRow="0" w:firstColumn="0" w:lastColumn="0" w:noHBand="0" w:noVBand="0"/>
      </w:tblPr>
      <w:tblGrid>
        <w:gridCol w:w="1871"/>
        <w:gridCol w:w="624"/>
        <w:gridCol w:w="7143"/>
      </w:tblGrid>
      <w:tr w:rsidR="006236E4" w14:paraId="2D8C67C3" w14:textId="77777777" w:rsidTr="0064269B">
        <w:trPr>
          <w:cantSplit/>
        </w:trPr>
        <w:tc>
          <w:tcPr>
            <w:tcW w:w="1871" w:type="dxa"/>
          </w:tcPr>
          <w:p w14:paraId="5755A76B" w14:textId="77777777" w:rsidR="006236E4" w:rsidRDefault="006236E4" w:rsidP="00F3234F">
            <w:pPr>
              <w:pStyle w:val="TableSideHeading"/>
              <w:rPr>
                <w:sz w:val="26"/>
                <w:rtl/>
              </w:rPr>
            </w:pPr>
            <w:r>
              <w:rPr>
                <w:rFonts w:hint="cs"/>
                <w:sz w:val="26"/>
                <w:rtl/>
              </w:rPr>
              <w:t xml:space="preserve">תיקון </w:t>
            </w:r>
            <w:r>
              <w:rPr>
                <w:sz w:val="26"/>
                <w:rtl/>
              </w:rPr>
              <w:t xml:space="preserve">סעיף </w:t>
            </w:r>
            <w:r>
              <w:rPr>
                <w:rFonts w:hint="cs"/>
                <w:sz w:val="26"/>
                <w:rtl/>
              </w:rPr>
              <w:t>40</w:t>
            </w:r>
          </w:p>
        </w:tc>
        <w:tc>
          <w:tcPr>
            <w:tcW w:w="624" w:type="dxa"/>
          </w:tcPr>
          <w:p w14:paraId="0C0496A1" w14:textId="77777777" w:rsidR="006236E4" w:rsidRDefault="006236E4" w:rsidP="00F3234F">
            <w:pPr>
              <w:pStyle w:val="TableText"/>
            </w:pPr>
            <w:r>
              <w:rPr>
                <w:sz w:val="26"/>
                <w:rtl/>
              </w:rPr>
              <w:t>1.</w:t>
            </w:r>
          </w:p>
        </w:tc>
        <w:tc>
          <w:tcPr>
            <w:tcW w:w="7143" w:type="dxa"/>
          </w:tcPr>
          <w:p w14:paraId="27136167" w14:textId="77777777" w:rsidR="006236E4" w:rsidRDefault="006236E4" w:rsidP="0064269B">
            <w:pPr>
              <w:pStyle w:val="TableBlock"/>
            </w:pPr>
            <w:r>
              <w:rPr>
                <w:rFonts w:hint="cs"/>
                <w:sz w:val="26"/>
                <w:rtl/>
              </w:rPr>
              <w:t>בפקודת מס הכנסה</w:t>
            </w:r>
            <w:r w:rsidRPr="0064269B">
              <w:rPr>
                <w:rStyle w:val="a6"/>
                <w:rFonts w:ascii="David" w:hAnsi="David"/>
                <w:sz w:val="26"/>
                <w:rtl/>
              </w:rPr>
              <w:footnoteReference w:id="2"/>
            </w:r>
            <w:r>
              <w:rPr>
                <w:rFonts w:hint="cs"/>
                <w:sz w:val="26"/>
                <w:rtl/>
              </w:rPr>
              <w:t xml:space="preserve">, בסעיף 40, </w:t>
            </w:r>
            <w:r w:rsidRPr="00840C3C">
              <w:rPr>
                <w:sz w:val="26"/>
                <w:rtl/>
              </w:rPr>
              <w:t>אחרי סעיף קטן (</w:t>
            </w:r>
            <w:r>
              <w:rPr>
                <w:rFonts w:hint="cs"/>
                <w:sz w:val="26"/>
                <w:rtl/>
              </w:rPr>
              <w:t>ב</w:t>
            </w:r>
            <w:r w:rsidRPr="00840C3C">
              <w:rPr>
                <w:sz w:val="26"/>
                <w:rtl/>
              </w:rPr>
              <w:t>) יבוא</w:t>
            </w:r>
            <w:r>
              <w:rPr>
                <w:rFonts w:hint="cs"/>
                <w:sz w:val="26"/>
                <w:rtl/>
              </w:rPr>
              <w:t xml:space="preserve">: </w:t>
            </w:r>
          </w:p>
        </w:tc>
      </w:tr>
      <w:tr w:rsidR="006236E4" w14:paraId="69A1D137" w14:textId="77777777" w:rsidTr="0064269B">
        <w:tblPrEx>
          <w:tblLook w:val="01E0" w:firstRow="1" w:lastRow="1" w:firstColumn="1" w:lastColumn="1" w:noHBand="0" w:noVBand="0"/>
        </w:tblPrEx>
        <w:trPr>
          <w:cantSplit/>
        </w:trPr>
        <w:tc>
          <w:tcPr>
            <w:tcW w:w="1871" w:type="dxa"/>
          </w:tcPr>
          <w:p w14:paraId="7E757848" w14:textId="77777777" w:rsidR="006236E4" w:rsidRDefault="006236E4" w:rsidP="00F3234F">
            <w:pPr>
              <w:pStyle w:val="TableSideHeading"/>
            </w:pPr>
          </w:p>
        </w:tc>
        <w:tc>
          <w:tcPr>
            <w:tcW w:w="624" w:type="dxa"/>
          </w:tcPr>
          <w:p w14:paraId="7B945731" w14:textId="77777777" w:rsidR="006236E4" w:rsidRDefault="006236E4" w:rsidP="00F3234F">
            <w:pPr>
              <w:pStyle w:val="TableText"/>
            </w:pPr>
          </w:p>
        </w:tc>
        <w:tc>
          <w:tcPr>
            <w:tcW w:w="7143" w:type="dxa"/>
          </w:tcPr>
          <w:p w14:paraId="04E1E884" w14:textId="77777777" w:rsidR="006236E4" w:rsidRPr="00FA72B9" w:rsidRDefault="006236E4" w:rsidP="0064269B">
            <w:pPr>
              <w:pStyle w:val="TableBlock"/>
              <w:rPr>
                <w:rtl/>
              </w:rPr>
            </w:pPr>
            <w:r w:rsidRPr="00FA72B9">
              <w:rPr>
                <w:rFonts w:hint="cs"/>
                <w:rtl/>
              </w:rPr>
              <w:t>"(ג)</w:t>
            </w:r>
            <w:r w:rsidRPr="00FA72B9">
              <w:rPr>
                <w:rtl/>
              </w:rPr>
              <w:tab/>
            </w:r>
            <w:r w:rsidRPr="00FA72B9">
              <w:rPr>
                <w:rFonts w:hint="cs"/>
                <w:rtl/>
              </w:rPr>
              <w:t>לעניין</w:t>
            </w:r>
            <w:r w:rsidRPr="00FA72B9">
              <w:rPr>
                <w:rtl/>
              </w:rPr>
              <w:t xml:space="preserve"> </w:t>
            </w:r>
            <w:r w:rsidRPr="00FA72B9">
              <w:rPr>
                <w:rFonts w:hint="cs"/>
                <w:rtl/>
              </w:rPr>
              <w:t>סעיף</w:t>
            </w:r>
            <w:r w:rsidRPr="00FA72B9">
              <w:rPr>
                <w:rtl/>
              </w:rPr>
              <w:t xml:space="preserve"> </w:t>
            </w:r>
            <w:r w:rsidRPr="00FA72B9">
              <w:rPr>
                <w:rFonts w:hint="cs"/>
                <w:rtl/>
              </w:rPr>
              <w:t xml:space="preserve">זה, "ילד" </w:t>
            </w:r>
            <w:r w:rsidRPr="00FA72B9">
              <w:rPr>
                <w:rtl/>
              </w:rPr>
              <w:t>–</w:t>
            </w:r>
            <w:r w:rsidRPr="00FA72B9">
              <w:rPr>
                <w:rFonts w:hint="cs"/>
                <w:rtl/>
              </w:rPr>
              <w:t xml:space="preserve"> לרבות ילד המוחזק על ידי בני זוג שהם משפחת אומנה כהגדרתה בחוק אומנה לילדים, התשע"ו</w:t>
            </w:r>
            <w:r w:rsidRPr="00FA72B9">
              <w:rPr>
                <w:rFonts w:hint="eastAsia"/>
                <w:rtl/>
              </w:rPr>
              <w:t>–</w:t>
            </w:r>
            <w:r w:rsidRPr="00FA72B9">
              <w:rPr>
                <w:rFonts w:hint="cs"/>
                <w:rtl/>
              </w:rPr>
              <w:t>2016</w:t>
            </w:r>
            <w:r w:rsidRPr="0064269B">
              <w:rPr>
                <w:rStyle w:val="a6"/>
                <w:rFonts w:ascii="David" w:hAnsi="David"/>
                <w:sz w:val="26"/>
                <w:rtl/>
              </w:rPr>
              <w:footnoteReference w:id="3"/>
            </w:r>
            <w:r w:rsidRPr="00FA72B9">
              <w:rPr>
                <w:rFonts w:hint="cs"/>
                <w:rtl/>
              </w:rPr>
              <w:t>."</w:t>
            </w:r>
          </w:p>
        </w:tc>
      </w:tr>
    </w:tbl>
    <w:p w14:paraId="7F6961CA" w14:textId="77777777" w:rsidR="002D1EE3" w:rsidRDefault="002D1EE3" w:rsidP="002D1EE3">
      <w:pPr>
        <w:pStyle w:val="HeadDivreiHesber"/>
        <w:rPr>
          <w:rtl/>
        </w:rPr>
      </w:pPr>
      <w:r w:rsidRPr="0027450A">
        <w:rPr>
          <w:rFonts w:hint="cs"/>
          <w:rtl/>
        </w:rPr>
        <w:t>דברי הסבר</w:t>
      </w:r>
    </w:p>
    <w:p w14:paraId="0406FB30" w14:textId="77777777" w:rsidR="006236E4" w:rsidRDefault="006236E4" w:rsidP="006236E4">
      <w:pPr>
        <w:pStyle w:val="Hesber"/>
        <w:rPr>
          <w:rtl/>
        </w:rPr>
      </w:pPr>
      <w:r>
        <w:rPr>
          <w:rtl/>
        </w:rPr>
        <w:t>פקודת מס הכנסה קובעת כי הורים זכאים לנקודות זיכוי בעד ילדיהם כמפורט בה. הטבת המס האמורה מסייעת להורים להתמודד עם ההוצאות הכרוכות בגידול הילדים.</w:t>
      </w:r>
    </w:p>
    <w:p w14:paraId="1ADF0228" w14:textId="77777777" w:rsidR="006236E4" w:rsidRDefault="006236E4" w:rsidP="006236E4">
      <w:pPr>
        <w:pStyle w:val="Hesber"/>
        <w:rPr>
          <w:rtl/>
        </w:rPr>
      </w:pPr>
      <w:r>
        <w:rPr>
          <w:rtl/>
        </w:rPr>
        <w:t xml:space="preserve">דא עקא, בניגוד להורים שאימצו ילד, בני זוג המשמשים כהורים לילדים הנמצאים בחזקתם במסגרת משפחות אומנה, אינם זכאים לנקודות זכות עבור ילדי האומנה. </w:t>
      </w:r>
    </w:p>
    <w:p w14:paraId="78628854" w14:textId="5FA2F997" w:rsidR="006236E4" w:rsidRDefault="006236E4" w:rsidP="00BC008F">
      <w:pPr>
        <w:pStyle w:val="Hesber"/>
        <w:rPr>
          <w:rtl/>
        </w:rPr>
      </w:pPr>
      <w:r>
        <w:rPr>
          <w:rtl/>
        </w:rPr>
        <w:t xml:space="preserve">בישראל חיים </w:t>
      </w:r>
      <w:r w:rsidRPr="00914F85">
        <w:rPr>
          <w:rFonts w:ascii="David" w:hAnsi="David"/>
          <w:sz w:val="26"/>
          <w:rtl/>
        </w:rPr>
        <w:t>כ-</w:t>
      </w:r>
      <w:r w:rsidR="00914F85" w:rsidRPr="00914F85">
        <w:rPr>
          <w:rFonts w:ascii="David" w:hAnsi="David"/>
          <w:sz w:val="26"/>
          <w:rtl/>
        </w:rPr>
        <w:t xml:space="preserve"> 4,299 </w:t>
      </w:r>
      <w:r w:rsidRPr="00914F85">
        <w:rPr>
          <w:rFonts w:ascii="David" w:hAnsi="David"/>
          <w:sz w:val="26"/>
          <w:rtl/>
        </w:rPr>
        <w:t>ילדים במשפחות</w:t>
      </w:r>
      <w:r>
        <w:rPr>
          <w:rtl/>
        </w:rPr>
        <w:t xml:space="preserve"> אומנה, כאשר מספר זה מהווה אחוז קטן מכלל הילדים הזקוקים למשפחות אומנה, מכיוון שקיים מחסור חמור במשפחות שמסכימות להיות משפחות אומנה.</w:t>
      </w:r>
    </w:p>
    <w:p w14:paraId="7714E983" w14:textId="77777777" w:rsidR="006236E4" w:rsidRDefault="006236E4" w:rsidP="006236E4">
      <w:pPr>
        <w:pStyle w:val="Hesber"/>
        <w:rPr>
          <w:rtl/>
        </w:rPr>
      </w:pPr>
      <w:r>
        <w:rPr>
          <w:rtl/>
        </w:rPr>
        <w:t>ילדים שלא נמצא עבורם סידור במשפחות אומנה, נשלחים בלית ברירה למוסדות פנימייתיים, כאשר ברור שטיפול במשפחות אומנה תורם לטובת הילד עשרת מונים על שהותו בפנימיית מוסד. זאת, נוסף על העלויות הגבוהות למדינה באחזקת ילדים במוסדות פנימייתיים ואחוזי הפשיעה הגבוהים בקרב בוגרי ותלמידי הפנימיות.</w:t>
      </w:r>
    </w:p>
    <w:p w14:paraId="784F2F1D" w14:textId="77777777" w:rsidR="006236E4" w:rsidRDefault="006236E4" w:rsidP="006236E4">
      <w:pPr>
        <w:pStyle w:val="Hesber"/>
        <w:rPr>
          <w:rtl/>
        </w:rPr>
      </w:pPr>
      <w:r>
        <w:rPr>
          <w:rtl/>
        </w:rPr>
        <w:t>כדי לעודד ולהרחיב את מספרם של בני זוג המוכנים לשמש כמשפחות אומנה, ועל מנת לתקן את העיוות הקיים כיום, לפיו רק הורים לילדים או הורים לילדים מאומצים זכאים לנקודות זכות, מוצע לקבוע שבני זוג המשמשים כמשפחות אומנה, יהיו זכאים לנקודות זכות, עבור כל ילד אומנה המוחזק על ידם, בדומה לילד של בני הזוג.</w:t>
      </w:r>
    </w:p>
    <w:p w14:paraId="10CF545D" w14:textId="77777777" w:rsidR="006236E4" w:rsidRDefault="006236E4" w:rsidP="006236E4">
      <w:pPr>
        <w:pStyle w:val="Hesber"/>
        <w:rPr>
          <w:rtl/>
        </w:rPr>
      </w:pPr>
      <w:r>
        <w:rPr>
          <w:rtl/>
        </w:rPr>
        <w:lastRenderedPageBreak/>
        <w:t>יצוין שבשנים האחרונות, הוכרו משפחות אומנה כהורים לילדים לעניין חוקים שונים, כגון חוק דמי מחלה (היעדרות בשל מחלת ילד), התשנ"ד–1993, ובחוק הביטוח הלאומי, התשנ"ה–1995 לעניין חופשת לידה ודמי לידה להורים אומנים המקבלים ילד עד גיל 10 ועוד.</w:t>
      </w:r>
    </w:p>
    <w:p w14:paraId="7F6961CB" w14:textId="288943D0" w:rsidR="00E13C27" w:rsidRDefault="006236E4" w:rsidP="006236E4">
      <w:pPr>
        <w:pStyle w:val="Hesber"/>
        <w:rPr>
          <w:rtl/>
        </w:rPr>
      </w:pPr>
      <w:r>
        <w:rPr>
          <w:rtl/>
        </w:rPr>
        <w:t>הצע</w:t>
      </w:r>
      <w:r w:rsidR="00795124">
        <w:rPr>
          <w:rFonts w:hint="cs"/>
          <w:rtl/>
        </w:rPr>
        <w:t>ו</w:t>
      </w:r>
      <w:r w:rsidR="00795124">
        <w:rPr>
          <w:rtl/>
        </w:rPr>
        <w:t>ת חוק זה</w:t>
      </w:r>
      <w:r w:rsidR="00795124">
        <w:rPr>
          <w:rFonts w:hint="cs"/>
          <w:rtl/>
        </w:rPr>
        <w:t>ות</w:t>
      </w:r>
      <w:r w:rsidR="00795124">
        <w:rPr>
          <w:rtl/>
        </w:rPr>
        <w:t xml:space="preserve"> הונח</w:t>
      </w:r>
      <w:r w:rsidR="00795124">
        <w:rPr>
          <w:rFonts w:hint="cs"/>
          <w:rtl/>
        </w:rPr>
        <w:t>ו</w:t>
      </w:r>
      <w:bookmarkStart w:id="8" w:name="_GoBack"/>
      <w:bookmarkEnd w:id="8"/>
      <w:r>
        <w:rPr>
          <w:rtl/>
        </w:rPr>
        <w:t xml:space="preserve"> על שולחן הכנסת העשרים על ידי חבר הכנסת משה גפני וקבוצת חברי הכנסת (פ/5618/20) ועל שולחן הכנסת העשרים ושלוש</w:t>
      </w:r>
      <w:r w:rsidR="005D03FF">
        <w:rPr>
          <w:rFonts w:hint="cs"/>
          <w:rtl/>
        </w:rPr>
        <w:t xml:space="preserve"> על ידי חברי הכנסת משה גפני ויעקב אשר</w:t>
      </w:r>
      <w:r>
        <w:rPr>
          <w:rtl/>
        </w:rPr>
        <w:t xml:space="preserve"> (פ/1340/23)</w:t>
      </w:r>
      <w:r>
        <w:rPr>
          <w:rFonts w:hint="cs"/>
          <w:rtl/>
        </w:rPr>
        <w:t>.</w:t>
      </w:r>
    </w:p>
    <w:p w14:paraId="5509D50D" w14:textId="29D253E9" w:rsidR="00024806" w:rsidRDefault="00024806" w:rsidP="006236E4">
      <w:pPr>
        <w:pStyle w:val="Hesber"/>
        <w:rPr>
          <w:rtl/>
        </w:rPr>
      </w:pPr>
      <w:r>
        <w:rPr>
          <w:rFonts w:hint="cs"/>
          <w:rtl/>
        </w:rPr>
        <w:t xml:space="preserve">הצעת החוק זהה לפ/1340/23 ולפיכך לא נבדקה מחדש על ידי הלשכה המשפטית של הכנסת.  </w:t>
      </w:r>
    </w:p>
    <w:p w14:paraId="4F0A544A" w14:textId="77777777" w:rsidR="00BE3CD9" w:rsidRDefault="00723730">
      <w:pPr>
        <w:jc w:val="left"/>
      </w:pPr>
      <w:bookmarkStart w:id="9" w:name="selectedDocDateB"/>
      <w:bookmarkEnd w:id="9"/>
      <w:r>
        <w:rPr>
          <w:rFonts w:eastAsia="David" w:hint="cs"/>
          <w:sz w:val="26"/>
          <w:szCs w:val="26"/>
          <w:rtl/>
        </w:rPr>
        <w:t>--------------------------------</w:t>
      </w:r>
    </w:p>
    <w:p w14:paraId="5A507253" w14:textId="77777777" w:rsidR="00BE3CD9" w:rsidRDefault="00723730">
      <w:pPr>
        <w:jc w:val="left"/>
      </w:pPr>
      <w:r>
        <w:rPr>
          <w:rFonts w:eastAsia="David" w:hint="cs"/>
          <w:sz w:val="26"/>
          <w:szCs w:val="26"/>
          <w:rtl/>
        </w:rPr>
        <w:t>הוגשה ליו"ר הכנסת והסגנים</w:t>
      </w:r>
    </w:p>
    <w:p w14:paraId="5B3EB304" w14:textId="77777777" w:rsidR="00BE3CD9" w:rsidRDefault="00723730">
      <w:pPr>
        <w:jc w:val="left"/>
      </w:pPr>
      <w:r>
        <w:rPr>
          <w:rFonts w:eastAsia="David" w:hint="cs"/>
          <w:sz w:val="26"/>
          <w:szCs w:val="26"/>
          <w:rtl/>
        </w:rPr>
        <w:t>והונחה על שולחן הכנסת ביום</w:t>
      </w:r>
    </w:p>
    <w:p w14:paraId="0F668AA1" w14:textId="77777777" w:rsidR="00BE3CD9" w:rsidRDefault="00723730">
      <w:pPr>
        <w:jc w:val="left"/>
      </w:pPr>
      <w:r>
        <w:rPr>
          <w:rFonts w:eastAsia="David" w:hint="cs"/>
          <w:sz w:val="26"/>
          <w:szCs w:val="26"/>
          <w:rtl/>
        </w:rPr>
        <w:t xml:space="preserve">כ"ח בסיוון התשפ"ב (27.06.2022) </w:t>
      </w:r>
    </w:p>
    <w:p w14:paraId="0FFBEEF1" w14:textId="77777777" w:rsidR="00BE3CD9" w:rsidRDefault="00BE3CD9">
      <w:pPr>
        <w:spacing w:line="276" w:lineRule="auto"/>
        <w:jc w:val="left"/>
      </w:pPr>
    </w:p>
    <w:sectPr w:rsidR="00BE3CD9" w:rsidSect="0064269B">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adasa Roso SL">
    <w:altName w:val="Times New Roman"/>
    <w:charset w:val="00"/>
    <w:family w:val="roman"/>
    <w:pitch w:val="variable"/>
    <w:sig w:usb0="80001827" w:usb1="5000004A" w:usb2="0000002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7C089B7D"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723730">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sidP="0064269B">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FE40CD5" w14:textId="77777777" w:rsidR="006236E4" w:rsidRDefault="006236E4" w:rsidP="006236E4">
      <w:pPr>
        <w:pStyle w:val="a4"/>
        <w:rPr>
          <w:rtl/>
        </w:rPr>
      </w:pPr>
      <w:r>
        <w:rPr>
          <w:rStyle w:val="a6"/>
        </w:rPr>
        <w:footnoteRef/>
      </w:r>
      <w:r>
        <w:rPr>
          <w:rtl/>
        </w:rPr>
        <w:t xml:space="preserve"> </w:t>
      </w:r>
      <w:r w:rsidRPr="00A41881">
        <w:rPr>
          <w:rtl/>
        </w:rPr>
        <w:t>דיני מ</w:t>
      </w:r>
      <w:r>
        <w:rPr>
          <w:rtl/>
        </w:rPr>
        <w:t>דינת ישראל, נוסח חדש</w:t>
      </w:r>
      <w:r>
        <w:rPr>
          <w:rFonts w:hint="cs"/>
          <w:rtl/>
        </w:rPr>
        <w:t>, מס'</w:t>
      </w:r>
      <w:r>
        <w:rPr>
          <w:rtl/>
        </w:rPr>
        <w:t xml:space="preserve"> 6, עמ' 120</w:t>
      </w:r>
      <w:r>
        <w:rPr>
          <w:rFonts w:hint="cs"/>
          <w:rtl/>
        </w:rPr>
        <w:t>.</w:t>
      </w:r>
      <w:r w:rsidRPr="00A41881">
        <w:rPr>
          <w:rtl/>
        </w:rPr>
        <w:t xml:space="preserve"> </w:t>
      </w:r>
    </w:p>
  </w:footnote>
  <w:footnote w:id="3">
    <w:p w14:paraId="6ACD501F" w14:textId="77777777" w:rsidR="006236E4" w:rsidRDefault="006236E4" w:rsidP="006236E4">
      <w:pPr>
        <w:pStyle w:val="a4"/>
        <w:rPr>
          <w:rtl/>
        </w:rPr>
      </w:pPr>
      <w:r>
        <w:rPr>
          <w:rStyle w:val="a6"/>
        </w:rPr>
        <w:footnoteRef/>
      </w:r>
      <w:r>
        <w:rPr>
          <w:rtl/>
        </w:rPr>
        <w:t xml:space="preserve"> </w:t>
      </w:r>
      <w:r>
        <w:rPr>
          <w:rFonts w:hint="cs"/>
          <w:rtl/>
        </w:rPr>
        <w:t>ס"ח התשע"ו, עמ' 586.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24806"/>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46EDB"/>
    <w:rsid w:val="00553C9D"/>
    <w:rsid w:val="00562A66"/>
    <w:rsid w:val="005B064E"/>
    <w:rsid w:val="005D03FF"/>
    <w:rsid w:val="005D51AE"/>
    <w:rsid w:val="006236E4"/>
    <w:rsid w:val="0062674B"/>
    <w:rsid w:val="006363B2"/>
    <w:rsid w:val="0064269B"/>
    <w:rsid w:val="00644940"/>
    <w:rsid w:val="006818A9"/>
    <w:rsid w:val="006A2D81"/>
    <w:rsid w:val="006C1D0D"/>
    <w:rsid w:val="0070601E"/>
    <w:rsid w:val="00712C72"/>
    <w:rsid w:val="00723730"/>
    <w:rsid w:val="00735FE9"/>
    <w:rsid w:val="00763CAA"/>
    <w:rsid w:val="00765A43"/>
    <w:rsid w:val="00765F66"/>
    <w:rsid w:val="0078664F"/>
    <w:rsid w:val="00795124"/>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14F85"/>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008F"/>
    <w:rsid w:val="00BC45FB"/>
    <w:rsid w:val="00BE3CD9"/>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635E"/>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E7D912E3-ED76-472A-8DC1-3D34CFD3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69B"/>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64269B"/>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64269B"/>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64269B"/>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64269B"/>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64269B"/>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64269B"/>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64269B"/>
    <w:rPr>
      <w:sz w:val="36"/>
      <w:szCs w:val="52"/>
    </w:rPr>
  </w:style>
  <w:style w:type="paragraph" w:customStyle="1" w:styleId="Cover3-Haknesset">
    <w:name w:val="Cover 3-Haknesset"/>
    <w:basedOn w:val="Cover1-Reshumot"/>
    <w:rsid w:val="0064269B"/>
    <w:rPr>
      <w:b/>
      <w:bCs/>
      <w:spacing w:val="60"/>
    </w:rPr>
  </w:style>
  <w:style w:type="paragraph" w:customStyle="1" w:styleId="Cover4-Date">
    <w:name w:val="Cover 4-Date"/>
    <w:basedOn w:val="a"/>
    <w:rsid w:val="0064269B"/>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64269B"/>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64269B"/>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64269B"/>
    <w:pPr>
      <w:spacing w:before="120" w:after="120"/>
    </w:pPr>
    <w:rPr>
      <w:color w:val="FF0000"/>
      <w:w w:val="80"/>
    </w:rPr>
  </w:style>
  <w:style w:type="paragraph" w:styleId="a3">
    <w:name w:val="endnote text"/>
    <w:basedOn w:val="a"/>
    <w:semiHidden/>
    <w:rsid w:val="0064269B"/>
    <w:pPr>
      <w:ind w:left="227" w:hanging="227"/>
    </w:pPr>
    <w:rPr>
      <w:sz w:val="14"/>
      <w:szCs w:val="22"/>
    </w:rPr>
  </w:style>
  <w:style w:type="paragraph" w:customStyle="1" w:styleId="TableText">
    <w:name w:val="Table Text"/>
    <w:basedOn w:val="a"/>
    <w:rsid w:val="0064269B"/>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64269B"/>
    <w:pPr>
      <w:outlineLvl w:val="2"/>
    </w:pPr>
  </w:style>
  <w:style w:type="paragraph" w:customStyle="1" w:styleId="TableBlock">
    <w:name w:val="Table Block"/>
    <w:basedOn w:val="TableText"/>
    <w:rsid w:val="0064269B"/>
    <w:pPr>
      <w:jc w:val="both"/>
    </w:pPr>
  </w:style>
  <w:style w:type="paragraph" w:customStyle="1" w:styleId="TableHead">
    <w:name w:val="Table Head"/>
    <w:basedOn w:val="TableText"/>
    <w:rsid w:val="0064269B"/>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64269B"/>
    <w:pPr>
      <w:outlineLvl w:val="9"/>
    </w:pPr>
  </w:style>
  <w:style w:type="paragraph" w:customStyle="1" w:styleId="Hesber">
    <w:name w:val="Hesber"/>
    <w:basedOn w:val="a"/>
    <w:rsid w:val="0064269B"/>
    <w:pPr>
      <w:snapToGrid w:val="0"/>
      <w:ind w:left="0" w:firstLine="340"/>
    </w:pPr>
    <w:rPr>
      <w:rFonts w:ascii="Arial" w:eastAsia="Arial Unicode MS" w:hAnsi="Arial"/>
      <w:snapToGrid w:val="0"/>
      <w:sz w:val="20"/>
      <w:szCs w:val="26"/>
    </w:rPr>
  </w:style>
  <w:style w:type="paragraph" w:styleId="a4">
    <w:name w:val="footnote text"/>
    <w:basedOn w:val="a"/>
    <w:link w:val="a5"/>
    <w:autoRedefine/>
    <w:rsid w:val="0064269B"/>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rsid w:val="0064269B"/>
    <w:rPr>
      <w:vertAlign w:val="superscript"/>
    </w:rPr>
  </w:style>
  <w:style w:type="paragraph" w:customStyle="1" w:styleId="HesberHeading">
    <w:name w:val="Hesber Heading"/>
    <w:basedOn w:val="Hesber"/>
    <w:rsid w:val="0064269B"/>
    <w:pPr>
      <w:tabs>
        <w:tab w:val="left" w:pos="624"/>
        <w:tab w:val="left" w:pos="1247"/>
      </w:tabs>
    </w:pPr>
    <w:rPr>
      <w:b/>
      <w:bCs/>
    </w:rPr>
  </w:style>
  <w:style w:type="paragraph" w:customStyle="1" w:styleId="HesberWriters">
    <w:name w:val="Hesber Writers"/>
    <w:basedOn w:val="Hesber"/>
    <w:rsid w:val="0064269B"/>
    <w:pPr>
      <w:spacing w:before="120" w:after="120"/>
      <w:ind w:left="1418"/>
      <w:jc w:val="right"/>
    </w:pPr>
    <w:rPr>
      <w:b/>
      <w:bCs/>
    </w:rPr>
  </w:style>
  <w:style w:type="paragraph" w:customStyle="1" w:styleId="Hesber1st">
    <w:name w:val="Hesber 1st"/>
    <w:basedOn w:val="Hesber"/>
    <w:rsid w:val="0064269B"/>
    <w:pPr>
      <w:tabs>
        <w:tab w:val="left" w:pos="680"/>
        <w:tab w:val="left" w:pos="1020"/>
      </w:tabs>
      <w:ind w:firstLine="0"/>
    </w:pPr>
  </w:style>
  <w:style w:type="character" w:styleId="a7">
    <w:name w:val="endnote reference"/>
    <w:basedOn w:val="a0"/>
    <w:semiHidden/>
    <w:rsid w:val="0064269B"/>
    <w:rPr>
      <w:vertAlign w:val="superscript"/>
    </w:rPr>
  </w:style>
  <w:style w:type="paragraph" w:customStyle="1" w:styleId="TableBlockOutdent">
    <w:name w:val="Table BlockOutdent"/>
    <w:basedOn w:val="TableBlock"/>
    <w:rsid w:val="0064269B"/>
    <w:pPr>
      <w:ind w:left="624" w:hanging="624"/>
    </w:pPr>
  </w:style>
  <w:style w:type="paragraph" w:styleId="a8">
    <w:name w:val="header"/>
    <w:basedOn w:val="a"/>
    <w:rsid w:val="0064269B"/>
    <w:pPr>
      <w:tabs>
        <w:tab w:val="center" w:pos="4153"/>
        <w:tab w:val="right" w:pos="8306"/>
      </w:tabs>
    </w:pPr>
  </w:style>
  <w:style w:type="paragraph" w:styleId="a9">
    <w:name w:val="footer"/>
    <w:basedOn w:val="a"/>
    <w:rsid w:val="0064269B"/>
    <w:pPr>
      <w:tabs>
        <w:tab w:val="center" w:pos="4153"/>
        <w:tab w:val="right" w:pos="8306"/>
      </w:tabs>
    </w:pPr>
  </w:style>
  <w:style w:type="paragraph" w:customStyle="1" w:styleId="HeadDivreiHesber">
    <w:name w:val="Head DivreiHesber"/>
    <w:basedOn w:val="a"/>
    <w:rsid w:val="0064269B"/>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64269B"/>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64269B"/>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rsid w:val="006236E4"/>
    <w:rPr>
      <w:rFonts w:ascii="Arial" w:eastAsia="Arial Unicode MS" w:hAnsi="Arial" w:cs="David"/>
      <w:snapToGrid w:val="0"/>
      <w:sz w:val="14"/>
    </w:rPr>
  </w:style>
  <w:style w:type="character" w:styleId="ae">
    <w:name w:val="annotation reference"/>
    <w:basedOn w:val="a0"/>
    <w:semiHidden/>
    <w:unhideWhenUsed/>
    <w:rsid w:val="00F6635E"/>
    <w:rPr>
      <w:sz w:val="16"/>
      <w:szCs w:val="16"/>
    </w:rPr>
  </w:style>
  <w:style w:type="paragraph" w:styleId="af">
    <w:name w:val="annotation text"/>
    <w:basedOn w:val="a"/>
    <w:link w:val="af0"/>
    <w:semiHidden/>
    <w:unhideWhenUsed/>
    <w:rsid w:val="00F6635E"/>
    <w:pPr>
      <w:spacing w:line="240" w:lineRule="auto"/>
    </w:pPr>
    <w:rPr>
      <w:sz w:val="20"/>
      <w:szCs w:val="20"/>
    </w:rPr>
  </w:style>
  <w:style w:type="character" w:customStyle="1" w:styleId="af0">
    <w:name w:val="טקסט הערה תו"/>
    <w:basedOn w:val="a0"/>
    <w:link w:val="af"/>
    <w:semiHidden/>
    <w:rsid w:val="00F6635E"/>
    <w:rPr>
      <w:rFonts w:ascii="Hadasa Roso SL" w:hAnsi="Hadasa Roso SL" w:cs="Hadasa Roso SL"/>
      <w:color w:val="000000"/>
      <w:spacing w:val="1"/>
      <w:lang w:eastAsia="ja-JP"/>
    </w:rPr>
  </w:style>
  <w:style w:type="paragraph" w:styleId="af1">
    <w:name w:val="annotation subject"/>
    <w:basedOn w:val="af"/>
    <w:next w:val="af"/>
    <w:link w:val="af2"/>
    <w:semiHidden/>
    <w:unhideWhenUsed/>
    <w:rsid w:val="00F6635E"/>
    <w:rPr>
      <w:b/>
      <w:bCs/>
    </w:rPr>
  </w:style>
  <w:style w:type="character" w:customStyle="1" w:styleId="af2">
    <w:name w:val="נושא הערה תו"/>
    <w:basedOn w:val="af0"/>
    <w:link w:val="af1"/>
    <w:semiHidden/>
    <w:rsid w:val="00F6635E"/>
    <w:rPr>
      <w:rFonts w:ascii="Hadasa Roso SL" w:hAnsi="Hadasa Roso SL" w:cs="Hadasa Roso SL"/>
      <w:b/>
      <w:bCs/>
      <w:color w:val="000000"/>
      <w:spacing w:val="1"/>
      <w:lang w:eastAsia="ja-JP"/>
    </w:rPr>
  </w:style>
  <w:style w:type="character" w:customStyle="1" w:styleId="10">
    <w:name w:val="כותרת 1 תו"/>
    <w:basedOn w:val="a0"/>
    <w:link w:val="1"/>
    <w:uiPriority w:val="9"/>
    <w:rsid w:val="0064269B"/>
    <w:rPr>
      <w:rFonts w:asciiTheme="majorHAnsi" w:eastAsiaTheme="majorEastAsia" w:hAnsiTheme="majorHAnsi" w:cs="David"/>
      <w:bCs/>
      <w:sz w:val="32"/>
      <w:szCs w:val="36"/>
    </w:rPr>
  </w:style>
  <w:style w:type="character" w:customStyle="1" w:styleId="20">
    <w:name w:val="כותרת 2 תו"/>
    <w:basedOn w:val="a0"/>
    <w:link w:val="2"/>
    <w:rsid w:val="0064269B"/>
    <w:rPr>
      <w:rFonts w:asciiTheme="majorHAnsi" w:eastAsiaTheme="majorEastAsia" w:hAnsiTheme="majorHAnsi" w:cs="David"/>
      <w:bCs/>
      <w:sz w:val="26"/>
      <w:szCs w:val="36"/>
      <w:u w:val="single"/>
    </w:rPr>
  </w:style>
  <w:style w:type="character" w:customStyle="1" w:styleId="30">
    <w:name w:val="כותרת 3 תו"/>
    <w:basedOn w:val="a0"/>
    <w:link w:val="3"/>
    <w:rsid w:val="0064269B"/>
    <w:rPr>
      <w:rFonts w:asciiTheme="majorHAnsi" w:eastAsiaTheme="majorEastAsia" w:hAnsiTheme="majorHAnsi" w:cs="David"/>
      <w:sz w:val="24"/>
      <w:szCs w:val="28"/>
      <w:u w:val="double"/>
    </w:rPr>
  </w:style>
  <w:style w:type="character" w:customStyle="1" w:styleId="40">
    <w:name w:val="כותרת 4 תו"/>
    <w:basedOn w:val="a0"/>
    <w:link w:val="4"/>
    <w:uiPriority w:val="9"/>
    <w:rsid w:val="0064269B"/>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64269B"/>
    <w:rPr>
      <w:rFonts w:ascii="David" w:eastAsiaTheme="minorHAnsi" w:hAnsi="David" w:cs="David"/>
      <w:color w:val="000000" w:themeColor="text1"/>
      <w:sz w:val="24"/>
      <w:szCs w:val="24"/>
    </w:rPr>
  </w:style>
  <w:style w:type="paragraph" w:styleId="af3">
    <w:name w:val="TOC Heading"/>
    <w:basedOn w:val="1"/>
    <w:next w:val="a"/>
    <w:uiPriority w:val="39"/>
    <w:unhideWhenUsed/>
    <w:qFormat/>
    <w:rsid w:val="0064269B"/>
    <w:pPr>
      <w:widowControl/>
      <w:spacing w:before="120" w:after="120"/>
      <w:outlineLvl w:val="9"/>
    </w:pPr>
    <w:rPr>
      <w:rtl/>
      <w:cs/>
    </w:rPr>
  </w:style>
  <w:style w:type="paragraph" w:styleId="TOC1">
    <w:name w:val="toc 1"/>
    <w:basedOn w:val="a"/>
    <w:next w:val="a"/>
    <w:autoRedefine/>
    <w:uiPriority w:val="39"/>
    <w:unhideWhenUsed/>
    <w:rsid w:val="0064269B"/>
    <w:pPr>
      <w:tabs>
        <w:tab w:val="right" w:leader="dot" w:pos="9629"/>
      </w:tabs>
      <w:spacing w:after="100"/>
    </w:pPr>
    <w:rPr>
      <w:bCs/>
      <w:szCs w:val="22"/>
    </w:rPr>
  </w:style>
  <w:style w:type="paragraph" w:styleId="TOC2">
    <w:name w:val="toc 2"/>
    <w:basedOn w:val="a"/>
    <w:next w:val="a"/>
    <w:uiPriority w:val="39"/>
    <w:unhideWhenUsed/>
    <w:rsid w:val="0064269B"/>
    <w:pPr>
      <w:tabs>
        <w:tab w:val="right" w:leader="dot" w:pos="9628"/>
      </w:tabs>
      <w:spacing w:after="100"/>
    </w:pPr>
    <w:rPr>
      <w:szCs w:val="22"/>
    </w:rPr>
  </w:style>
  <w:style w:type="character" w:styleId="Hyperlink">
    <w:name w:val="Hyperlink"/>
    <w:basedOn w:val="a0"/>
    <w:uiPriority w:val="99"/>
    <w:unhideWhenUsed/>
    <w:rsid w:val="0064269B"/>
    <w:rPr>
      <w:color w:val="0000FF" w:themeColor="hyperlink"/>
      <w:u w:val="single"/>
    </w:rPr>
  </w:style>
  <w:style w:type="paragraph" w:styleId="TOC3">
    <w:name w:val="toc 3"/>
    <w:basedOn w:val="a"/>
    <w:next w:val="a"/>
    <w:uiPriority w:val="39"/>
    <w:unhideWhenUsed/>
    <w:rsid w:val="0064269B"/>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64269B"/>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64269B"/>
    <w:pPr>
      <w:tabs>
        <w:tab w:val="right" w:leader="dot" w:pos="9628"/>
      </w:tabs>
      <w:spacing w:after="100"/>
      <w:ind w:left="567"/>
    </w:pPr>
    <w:rPr>
      <w:szCs w:val="22"/>
    </w:rPr>
  </w:style>
  <w:style w:type="paragraph" w:styleId="TOC6">
    <w:name w:val="toc 6"/>
    <w:basedOn w:val="a"/>
    <w:next w:val="a"/>
    <w:autoRedefine/>
    <w:semiHidden/>
    <w:unhideWhenUsed/>
    <w:rsid w:val="0064269B"/>
    <w:pPr>
      <w:spacing w:after="100"/>
      <w:ind w:left="850"/>
    </w:pPr>
  </w:style>
  <w:style w:type="paragraph" w:styleId="TOC7">
    <w:name w:val="toc 7"/>
    <w:basedOn w:val="a"/>
    <w:next w:val="a"/>
    <w:autoRedefine/>
    <w:semiHidden/>
    <w:unhideWhenUsed/>
    <w:rsid w:val="0064269B"/>
    <w:pPr>
      <w:spacing w:after="100"/>
      <w:ind w:left="1020"/>
    </w:pPr>
  </w:style>
  <w:style w:type="paragraph" w:styleId="TOC8">
    <w:name w:val="toc 8"/>
    <w:basedOn w:val="a"/>
    <w:next w:val="a"/>
    <w:autoRedefine/>
    <w:semiHidden/>
    <w:unhideWhenUsed/>
    <w:rsid w:val="0064269B"/>
    <w:pPr>
      <w:spacing w:after="100"/>
      <w:ind w:left="1190"/>
    </w:pPr>
  </w:style>
  <w:style w:type="paragraph" w:styleId="TOC9">
    <w:name w:val="toc 9"/>
    <w:basedOn w:val="a"/>
    <w:next w:val="a"/>
    <w:autoRedefine/>
    <w:semiHidden/>
    <w:unhideWhenUsed/>
    <w:rsid w:val="0064269B"/>
    <w:pPr>
      <w:spacing w:after="100"/>
      <w:ind w:left="1360"/>
    </w:pPr>
  </w:style>
  <w:style w:type="paragraph" w:customStyle="1" w:styleId="TableHead2">
    <w:name w:val="Table Head2"/>
    <w:basedOn w:val="TableHead"/>
    <w:qFormat/>
    <w:rsid w:val="0064269B"/>
    <w:pPr>
      <w:outlineLvl w:val="9"/>
    </w:pPr>
  </w:style>
  <w:style w:type="paragraph" w:customStyle="1" w:styleId="TableSideHeading2">
    <w:name w:val="Table SideHeading2"/>
    <w:basedOn w:val="TableSideHeading"/>
    <w:autoRedefine/>
    <w:qFormat/>
    <w:rsid w:val="0064269B"/>
    <w:pPr>
      <w:keepLines w:val="0"/>
      <w:outlineLvl w:val="9"/>
    </w:pPr>
  </w:style>
  <w:style w:type="paragraph" w:customStyle="1" w:styleId="0">
    <w:name w:val="סגנון שורה ראשונה:  0  ס''מ"/>
    <w:basedOn w:val="2"/>
    <w:rsid w:val="0064269B"/>
    <w:rPr>
      <w:rFonts w:eastAsia="Times New Roman"/>
    </w:rPr>
  </w:style>
  <w:style w:type="paragraph" w:styleId="af4">
    <w:name w:val="List Paragraph"/>
    <w:basedOn w:val="a"/>
    <w:uiPriority w:val="34"/>
    <w:qFormat/>
    <w:rsid w:val="0064269B"/>
    <w:pPr>
      <w:widowControl/>
      <w:spacing w:line="259" w:lineRule="auto"/>
    </w:pPr>
    <w:rPr>
      <w:rFonts w:asciiTheme="minorHAnsi" w:hAnsiTheme="minorHAnsi"/>
      <w:sz w:val="22"/>
    </w:rPr>
  </w:style>
  <w:style w:type="table" w:styleId="af5">
    <w:name w:val="Table Grid"/>
    <w:basedOn w:val="a1"/>
    <w:rsid w:val="0064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6426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64269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6">
    <w:name w:val="טבלת חקיקה"/>
    <w:basedOn w:val="a1"/>
    <w:uiPriority w:val="99"/>
    <w:rsid w:val="0064269B"/>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64269B"/>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290d5b49-c690-4c6f-bbb9-1e50dab33ee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E0D642C-83DF-47FA-B844-5C1E73E17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1A5D17-263B-4A46-819A-FC55B640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359</Words>
  <Characters>1795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13</cp:revision>
  <cp:lastPrinted>2013-07-04T08:25:00Z</cp:lastPrinted>
  <dcterms:created xsi:type="dcterms:W3CDTF">2015-04-20T09:58:00Z</dcterms:created>
  <dcterms:modified xsi:type="dcterms:W3CDTF">2022-06-23T09:06:00Z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2193530</vt:r8>
  </property>
</Properties>
</file>